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5F" w:rsidRPr="002B3CDB" w:rsidRDefault="00363C94" w:rsidP="00A7554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B3C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Лек</w:t>
      </w:r>
      <w:bookmarkStart w:id="0" w:name="_GoBack"/>
      <w:bookmarkEnd w:id="0"/>
      <w:r w:rsidRPr="002B3C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ция 2. Экономическая сущность ценных бумаг: проблемно-ориентированный подход</w:t>
      </w:r>
    </w:p>
    <w:p w:rsidR="00363C94" w:rsidRPr="002B3CDB" w:rsidRDefault="00E11B15" w:rsidP="00A7554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B3C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B3CDB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 понимать э</w:t>
      </w:r>
      <w:r w:rsidRPr="002B3CD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кономическую сущность ценных бумаг и уметь </w:t>
      </w:r>
      <w:r w:rsidRPr="002B3CDB">
        <w:rPr>
          <w:rFonts w:ascii="Times New Roman" w:hAnsi="Times New Roman" w:cs="Times New Roman"/>
          <w:b/>
          <w:i/>
          <w:sz w:val="24"/>
          <w:szCs w:val="24"/>
        </w:rPr>
        <w:t xml:space="preserve">обосновать роль </w:t>
      </w:r>
      <w:r w:rsidRPr="002B3C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ценных бумаг как финансовой категории</w:t>
      </w:r>
      <w:r w:rsidR="001378A0" w:rsidRPr="002B3C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1C0B2B" w:rsidRPr="002B3CDB" w:rsidRDefault="001378A0" w:rsidP="001C0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CDB">
        <w:rPr>
          <w:rFonts w:ascii="Times New Roman" w:hAnsi="Times New Roman" w:cs="Times New Roman"/>
          <w:sz w:val="24"/>
          <w:szCs w:val="24"/>
        </w:rPr>
        <w:t>Объектом купли-продажи на фондовом рынке выступают ценные бумаги,  которые могут выполнять разнообразные функции.</w:t>
      </w:r>
    </w:p>
    <w:p w:rsidR="001C0B2B" w:rsidRPr="002B3CDB" w:rsidRDefault="001C0B2B" w:rsidP="001C0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8A0" w:rsidRPr="002B3CDB" w:rsidRDefault="001378A0" w:rsidP="001C0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CDB">
        <w:rPr>
          <w:rFonts w:ascii="Times New Roman" w:hAnsi="Times New Roman" w:cs="Times New Roman"/>
          <w:sz w:val="24"/>
          <w:szCs w:val="24"/>
        </w:rPr>
        <w:t>Функциональные роли ценных бумаг.</w:t>
      </w:r>
    </w:p>
    <w:p w:rsidR="001378A0" w:rsidRPr="002B3CDB" w:rsidRDefault="001378A0" w:rsidP="00A755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CD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C37158D" wp14:editId="28429A1E">
            <wp:extent cx="5486400" cy="552450"/>
            <wp:effectExtent l="0" t="38100" r="0" b="571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378A0" w:rsidRPr="002B3CDB" w:rsidRDefault="001378A0" w:rsidP="00A7554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78A0" w:rsidRPr="002B3CDB" w:rsidRDefault="001378A0" w:rsidP="00A755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CDB">
        <w:rPr>
          <w:rFonts w:ascii="Times New Roman" w:hAnsi="Times New Roman" w:cs="Times New Roman"/>
          <w:i/>
          <w:sz w:val="24"/>
          <w:szCs w:val="24"/>
        </w:rPr>
        <w:t>Ценные бумаги: виды и фундаментальные свойства</w:t>
      </w:r>
    </w:p>
    <w:p w:rsidR="001378A0" w:rsidRPr="002B3CDB" w:rsidRDefault="001378A0" w:rsidP="00A75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8" w:type="dxa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5812"/>
        <w:gridCol w:w="2578"/>
      </w:tblGrid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Акция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Долевая ценная бумага, удостоверяющая право ее обладателя на участие в управлении предприятием, на часть собственности компании в случае ее ликвидации, на получение части прибыли в форме дивидендов и иные права.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left="3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Обыкновенные</w:t>
            </w:r>
          </w:p>
          <w:p w:rsidR="001378A0" w:rsidRPr="002B3CDB" w:rsidRDefault="001378A0" w:rsidP="00A7554C">
            <w:pPr>
              <w:ind w:left="3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 xml:space="preserve">- Привилегированные </w:t>
            </w:r>
          </w:p>
          <w:p w:rsidR="001378A0" w:rsidRPr="002B3CDB" w:rsidRDefault="001378A0" w:rsidP="00A7554C">
            <w:pPr>
              <w:ind w:left="3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Золотая акция</w:t>
            </w:r>
          </w:p>
          <w:p w:rsidR="001378A0" w:rsidRPr="002B3CDB" w:rsidRDefault="001378A0" w:rsidP="00A7554C">
            <w:pPr>
              <w:ind w:left="3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Акции «голубых фишек»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Инвестиционный пай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Именная эмиссионная ценная бумага, удостоверяющая вклад инвестора в паевой инвестиционный фонд и дающая право требовать выкупа этого пая по желанию инвестора по цене, которая рассчитывается на основе стоимости чистых активов ПИФа на дату требования о выкупе.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-пай открытого ПИФа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-пай интервального ПИФа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-пай закрытого ПИФа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Облигация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Долговая ценная бумага, удостоверяющая внесение ее владельцем денежных средств и подтверждающая обязательства эмитента возместить инвестору стоимость этой ценной бумаги в определенный срок с уплатой зафиксированного в ней  процента от номинальной стоимости облигации или получить иные имущественные права.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left="3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Закладные</w:t>
            </w:r>
          </w:p>
          <w:p w:rsidR="001378A0" w:rsidRPr="002B3CDB" w:rsidRDefault="001378A0" w:rsidP="00A7554C">
            <w:pPr>
              <w:ind w:left="3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Беззакладные</w:t>
            </w:r>
          </w:p>
          <w:p w:rsidR="001378A0" w:rsidRPr="002B3CDB" w:rsidRDefault="001378A0" w:rsidP="00A7554C">
            <w:pPr>
              <w:ind w:left="3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Дисконтные</w:t>
            </w:r>
          </w:p>
          <w:p w:rsidR="001378A0" w:rsidRPr="002B3CDB" w:rsidRDefault="001378A0" w:rsidP="00A7554C">
            <w:pPr>
              <w:ind w:left="3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Купонные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Вексель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Ценная бумага, составленная по точно установленной законом форме, которая свидетельствует о безусловном денежном обязательстве одного лица уплатить после наступления срока, обозначенного в векселе, определенную сумму денег векселедержателю.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 xml:space="preserve">- Простой 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Переводной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Коносамент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Ценная бумага (документ), удостоверяющая право владения перевозимым грузом, товаром при международной морской перевозке.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Именной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На предъявителя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Ордерный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Складские свидетельства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Ценные бумаги, выдающиеся в подтверждение принятия товара на хранение в товарный склад.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Простые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Двойные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Фьючерсный контракт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Стандартный биржевой договор купли-продажи актива через определенный срок в будущем по цене, установленной сторонами сделки в момент ее заключения. Обязателен к исполнению.</w:t>
            </w:r>
          </w:p>
        </w:tc>
        <w:tc>
          <w:tcPr>
            <w:tcW w:w="2578" w:type="dxa"/>
            <w:vMerge w:val="restart"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На активы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Товарный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Процентный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Валютный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Форвардный контракт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Вид договора между двумя сторонами о поставке базисного актива в определенное время в будущем, по заранее оговоренной цене. Заключается вне биржи.</w:t>
            </w:r>
          </w:p>
        </w:tc>
        <w:tc>
          <w:tcPr>
            <w:tcW w:w="2578" w:type="dxa"/>
            <w:vMerge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СВОП-контракт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Соглашение между контрагентами об обмене определенного количества базовых инструментов на определенных условиях в будущем.</w:t>
            </w:r>
          </w:p>
        </w:tc>
        <w:tc>
          <w:tcPr>
            <w:tcW w:w="2578" w:type="dxa"/>
            <w:vMerge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Опционный контракт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Договор, в соответствии с которым одна из сторон имеет право, но не обязательство, в течение определенного срока продать (купить) у другой стороны соответствующий актив по цене, установленной в момент заключения договора.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Опцион-колл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Опцион-пут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Опцион эмитента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Депозитарные расписки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Свободно обращающаяся на фондовом рынке вторичная ценная бумага, выпущенная в форме сертификата авторитетным депозитарным банком мирового значения на акции иностранного эмитента и заменяющая их в стране, где оборот этих ценных бумаг запрещен или ограничен.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ADR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 GDR</w:t>
            </w:r>
          </w:p>
        </w:tc>
      </w:tr>
      <w:tr w:rsidR="001378A0" w:rsidRPr="002B3CDB" w:rsidTr="0027263E">
        <w:trPr>
          <w:jc w:val="center"/>
        </w:trPr>
        <w:tc>
          <w:tcPr>
            <w:tcW w:w="2068" w:type="dxa"/>
            <w:vAlign w:val="center"/>
          </w:tcPr>
          <w:p w:rsidR="001378A0" w:rsidRPr="002B3CDB" w:rsidRDefault="001378A0" w:rsidP="00A7554C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B3CDB">
              <w:rPr>
                <w:rFonts w:ascii="Times New Roman" w:hAnsi="Times New Roman" w:cs="Times New Roman"/>
                <w:i/>
                <w:sz w:val="24"/>
                <w:szCs w:val="24"/>
              </w:rPr>
              <w:t>Варрант</w:t>
            </w:r>
          </w:p>
        </w:tc>
        <w:tc>
          <w:tcPr>
            <w:tcW w:w="5812" w:type="dxa"/>
            <w:vAlign w:val="center"/>
          </w:tcPr>
          <w:p w:rsidR="001378A0" w:rsidRPr="002B3CDB" w:rsidRDefault="001378A0" w:rsidP="00A7554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Ценная бумага, дающая ее владельцу право приобрести в течение установленного периода времени определенное число обыкновенных акций по заранее фиксированной цене.</w:t>
            </w:r>
          </w:p>
        </w:tc>
        <w:tc>
          <w:tcPr>
            <w:tcW w:w="2578" w:type="dxa"/>
            <w:vAlign w:val="center"/>
          </w:tcPr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-варрант пут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-варрант корзины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 xml:space="preserve">-брачный варрант </w:t>
            </w:r>
          </w:p>
          <w:p w:rsidR="001378A0" w:rsidRPr="002B3CDB" w:rsidRDefault="001378A0" w:rsidP="00A7554C">
            <w:p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B">
              <w:rPr>
                <w:rFonts w:ascii="Times New Roman" w:hAnsi="Times New Roman" w:cs="Times New Roman"/>
                <w:sz w:val="24"/>
                <w:szCs w:val="24"/>
              </w:rPr>
              <w:t>-индексный варрант</w:t>
            </w:r>
          </w:p>
        </w:tc>
      </w:tr>
    </w:tbl>
    <w:p w:rsidR="001378A0" w:rsidRPr="002B3CDB" w:rsidRDefault="001378A0" w:rsidP="00A7554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34D1" w:rsidRPr="002B3CDB" w:rsidRDefault="00D634D1" w:rsidP="00A7554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3CDB">
        <w:rPr>
          <w:rFonts w:ascii="Times New Roman" w:hAnsi="Times New Roman" w:cs="Times New Roman"/>
          <w:b/>
          <w:sz w:val="24"/>
          <w:szCs w:val="24"/>
          <w:lang w:val="kk-KZ"/>
        </w:rPr>
        <w:t>Вопросы:</w:t>
      </w:r>
    </w:p>
    <w:p w:rsidR="00D634D1" w:rsidRPr="002B3CDB" w:rsidRDefault="00D634D1" w:rsidP="00D634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базис для деривативов является на сегодняшний день наиболее популярным? Найдите статистические подтверждения и объясните причины.</w:t>
      </w:r>
    </w:p>
    <w:p w:rsidR="00D634D1" w:rsidRPr="002B3CDB" w:rsidRDefault="00D634D1" w:rsidP="00D634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определение понятию «голубые фишки». Выберите три ведущих мировых биржи и укажите, какие компания, относятся к категории «голубых фишек»? Проанализируйте эти списки в динамике за 3-5 лет, сделайте выводы.</w:t>
      </w:r>
    </w:p>
    <w:p w:rsidR="00D634D1" w:rsidRPr="002B3CDB" w:rsidRDefault="00D634D1" w:rsidP="00D634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B">
        <w:rPr>
          <w:rFonts w:ascii="Times New Roman" w:hAnsi="Times New Roman" w:cs="Times New Roman"/>
          <w:sz w:val="24"/>
          <w:szCs w:val="24"/>
        </w:rPr>
        <w:t>В чем заключается принципиальное различие между ценными бумагами национального и международного уровня?</w:t>
      </w:r>
    </w:p>
    <w:p w:rsidR="00D634D1" w:rsidRPr="002B3CDB" w:rsidRDefault="00D634D1" w:rsidP="00D634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Проанализируйте преимущества и недостатки международных долговых ценных бумаг.</w:t>
      </w:r>
    </w:p>
    <w:p w:rsidR="00D634D1" w:rsidRPr="002B3CDB" w:rsidRDefault="00D634D1" w:rsidP="00A75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3D" w:rsidRPr="002B3CDB" w:rsidRDefault="00EF2F3D" w:rsidP="00A75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DB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F2F3D" w:rsidRPr="002B3CDB" w:rsidRDefault="00EF2F3D" w:rsidP="00EF2F3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B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EF2F3D" w:rsidRPr="002B3CDB" w:rsidRDefault="00EF2F3D" w:rsidP="00EF2F3D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B3CDB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EF2F3D" w:rsidRPr="002B3CDB" w:rsidRDefault="00EF2F3D" w:rsidP="00EF2F3D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B3CDB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EF2F3D" w:rsidRPr="002B3CDB" w:rsidRDefault="00EF2F3D" w:rsidP="00EF2F3D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B3CDB">
        <w:rPr>
          <w:rFonts w:ascii="Times New Roman" w:hAnsi="Times New Roman" w:cs="Times New Roman"/>
          <w:spacing w:val="3"/>
          <w:sz w:val="24"/>
          <w:szCs w:val="24"/>
        </w:rPr>
        <w:t>Журнал «Аль-Пари» за 2004-2016гг</w:t>
      </w:r>
    </w:p>
    <w:p w:rsidR="00EF2F3D" w:rsidRPr="002B3CDB" w:rsidRDefault="00EF2F3D" w:rsidP="00EF2F3D">
      <w:pPr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B3CDB">
        <w:rPr>
          <w:rFonts w:ascii="Times New Roman" w:hAnsi="Times New Roman" w:cs="Times New Roman"/>
          <w:color w:val="000000"/>
          <w:spacing w:val="3"/>
          <w:sz w:val="24"/>
          <w:szCs w:val="24"/>
        </w:rPr>
        <w:t>www.kase.kz</w:t>
      </w:r>
    </w:p>
    <w:p w:rsidR="00EF2F3D" w:rsidRPr="002B3CDB" w:rsidRDefault="00EF2F3D" w:rsidP="00A755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2F3D" w:rsidRPr="002B3CDB" w:rsidSect="002B3C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4B" w:rsidRDefault="002D224B" w:rsidP="00A7554C">
      <w:pPr>
        <w:spacing w:after="0" w:line="240" w:lineRule="auto"/>
      </w:pPr>
      <w:r>
        <w:separator/>
      </w:r>
    </w:p>
  </w:endnote>
  <w:endnote w:type="continuationSeparator" w:id="0">
    <w:p w:rsidR="002D224B" w:rsidRDefault="002D224B" w:rsidP="00A7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4B" w:rsidRDefault="002D224B" w:rsidP="00A7554C">
      <w:pPr>
        <w:spacing w:after="0" w:line="240" w:lineRule="auto"/>
      </w:pPr>
      <w:r>
        <w:separator/>
      </w:r>
    </w:p>
  </w:footnote>
  <w:footnote w:type="continuationSeparator" w:id="0">
    <w:p w:rsidR="002D224B" w:rsidRDefault="002D224B" w:rsidP="00A7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74B5C"/>
    <w:multiLevelType w:val="hybridMultilevel"/>
    <w:tmpl w:val="E1E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67D5"/>
    <w:multiLevelType w:val="hybridMultilevel"/>
    <w:tmpl w:val="C0D0646C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4"/>
    <w:rsid w:val="001378A0"/>
    <w:rsid w:val="001C0B2B"/>
    <w:rsid w:val="002B3CDB"/>
    <w:rsid w:val="002D224B"/>
    <w:rsid w:val="00363C94"/>
    <w:rsid w:val="00421783"/>
    <w:rsid w:val="00A7554C"/>
    <w:rsid w:val="00D634D1"/>
    <w:rsid w:val="00E11B15"/>
    <w:rsid w:val="00EF2F3D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05EB-7BD5-45B3-AC7B-D79700E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54C"/>
  </w:style>
  <w:style w:type="paragraph" w:styleId="a6">
    <w:name w:val="footer"/>
    <w:basedOn w:val="a"/>
    <w:link w:val="a7"/>
    <w:uiPriority w:val="99"/>
    <w:unhideWhenUsed/>
    <w:rsid w:val="00A7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54C"/>
  </w:style>
  <w:style w:type="paragraph" w:styleId="a8">
    <w:name w:val="List Paragraph"/>
    <w:basedOn w:val="a"/>
    <w:uiPriority w:val="34"/>
    <w:qFormat/>
    <w:rsid w:val="00D634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E1D7C3-83FD-4945-91A3-213FD491B68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88B0DCD-F3C1-42EF-8168-A396CE70CE5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Ценная бумага</a:t>
          </a:r>
        </a:p>
      </dgm:t>
    </dgm:pt>
    <dgm:pt modelId="{8BA111AB-643F-4766-AD83-207FA3FC7BFC}" type="parTrans" cxnId="{D7CA4CA4-6366-4F02-9280-764FD6DAAC4B}">
      <dgm:prSet/>
      <dgm:spPr/>
      <dgm:t>
        <a:bodyPr/>
        <a:lstStyle/>
        <a:p>
          <a:endParaRPr lang="ru-RU"/>
        </a:p>
      </dgm:t>
    </dgm:pt>
    <dgm:pt modelId="{503F1F9E-D873-4C91-B1B7-B92E56FF512A}" type="sibTrans" cxnId="{D7CA4CA4-6366-4F02-9280-764FD6DAAC4B}">
      <dgm:prSet/>
      <dgm:spPr/>
      <dgm:t>
        <a:bodyPr/>
        <a:lstStyle/>
        <a:p>
          <a:endParaRPr lang="ru-RU"/>
        </a:p>
      </dgm:t>
    </dgm:pt>
    <dgm:pt modelId="{09E5C36F-86DF-4077-9328-9B3FE2B1BB0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Товар</a:t>
          </a:r>
        </a:p>
      </dgm:t>
    </dgm:pt>
    <dgm:pt modelId="{E99AA506-1053-4B2E-9C64-724539954C44}" type="parTrans" cxnId="{26E8F8D0-7355-4AF2-A546-7E81F0C5599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33BAF23-707A-4376-8707-A1C2A7B4E19A}" type="sibTrans" cxnId="{26E8F8D0-7355-4AF2-A546-7E81F0C55991}">
      <dgm:prSet/>
      <dgm:spPr/>
      <dgm:t>
        <a:bodyPr/>
        <a:lstStyle/>
        <a:p>
          <a:endParaRPr lang="ru-RU"/>
        </a:p>
      </dgm:t>
    </dgm:pt>
    <dgm:pt modelId="{7211EDA2-C0CB-42D4-9B8A-AF3B2DF7E4EC}">
      <dgm:prSet phldrT="[Текст]" custT="1"/>
      <dgm:spPr>
        <a:ln w="9525"/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Финансовый инструмент</a:t>
          </a:r>
        </a:p>
      </dgm:t>
    </dgm:pt>
    <dgm:pt modelId="{2D3B9967-2E6A-493B-ACE1-608C5FBEFC32}" type="parTrans" cxnId="{EF683DF9-501C-4FD0-B439-052D458C14D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72DC7A9-BE74-4139-817D-9B0DD143CAC1}" type="sibTrans" cxnId="{EF683DF9-501C-4FD0-B439-052D458C14DD}">
      <dgm:prSet/>
      <dgm:spPr/>
      <dgm:t>
        <a:bodyPr/>
        <a:lstStyle/>
        <a:p>
          <a:endParaRPr lang="ru-RU"/>
        </a:p>
      </dgm:t>
    </dgm:pt>
    <dgm:pt modelId="{7AD54C82-DA0D-4D0D-923C-0D99C665859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Капитал</a:t>
          </a:r>
        </a:p>
      </dgm:t>
    </dgm:pt>
    <dgm:pt modelId="{679A9A95-F99D-4F45-B7E5-854D446FBC5D}" type="parTrans" cxnId="{0763C32B-D3FE-4584-A372-5B272745FFE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FCB7900-57D8-410B-B082-82FDB3281F9C}" type="sibTrans" cxnId="{0763C32B-D3FE-4584-A372-5B272745FFE4}">
      <dgm:prSet/>
      <dgm:spPr/>
      <dgm:t>
        <a:bodyPr/>
        <a:lstStyle/>
        <a:p>
          <a:endParaRPr lang="ru-RU"/>
        </a:p>
      </dgm:t>
    </dgm:pt>
    <dgm:pt modelId="{387B719F-0CCD-4146-8614-17ED7FBD5C10}" type="pres">
      <dgm:prSet presAssocID="{E8E1D7C3-83FD-4945-91A3-213FD491B6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6C118A3-EA4F-4D55-9B24-8BA7CBB86629}" type="pres">
      <dgm:prSet presAssocID="{488B0DCD-F3C1-42EF-8168-A396CE70CE54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C9C71A7-5BF8-46C8-AF04-0345B70574FB}" type="pres">
      <dgm:prSet presAssocID="{488B0DCD-F3C1-42EF-8168-A396CE70CE54}" presName="rootComposite1" presStyleCnt="0"/>
      <dgm:spPr/>
      <dgm:t>
        <a:bodyPr/>
        <a:lstStyle/>
        <a:p>
          <a:endParaRPr lang="ru-RU"/>
        </a:p>
      </dgm:t>
    </dgm:pt>
    <dgm:pt modelId="{58130F50-C0FD-4ADA-9860-B6B4248F809B}" type="pres">
      <dgm:prSet presAssocID="{488B0DCD-F3C1-42EF-8168-A396CE70CE54}" presName="rootText1" presStyleLbl="node0" presStyleIdx="0" presStyleCnt="1" custScaleX="104319" custScaleY="33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D314C-1334-46EB-9B70-7558C20A5FF5}" type="pres">
      <dgm:prSet presAssocID="{488B0DCD-F3C1-42EF-8168-A396CE70CE5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65797A0-B2F2-4D1E-ACE2-D7281AD27DC7}" type="pres">
      <dgm:prSet presAssocID="{488B0DCD-F3C1-42EF-8168-A396CE70CE54}" presName="hierChild2" presStyleCnt="0"/>
      <dgm:spPr/>
      <dgm:t>
        <a:bodyPr/>
        <a:lstStyle/>
        <a:p>
          <a:endParaRPr lang="ru-RU"/>
        </a:p>
      </dgm:t>
    </dgm:pt>
    <dgm:pt modelId="{C3B7EC1A-A6E5-45AB-BEF3-4438452BCF0C}" type="pres">
      <dgm:prSet presAssocID="{E99AA506-1053-4B2E-9C64-724539954C4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F82BAEB-1F2B-4433-92C3-A3A89CB3C70C}" type="pres">
      <dgm:prSet presAssocID="{09E5C36F-86DF-4077-9328-9B3FE2B1BB0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66F21F8-F38A-4B6B-953F-95F9250790F0}" type="pres">
      <dgm:prSet presAssocID="{09E5C36F-86DF-4077-9328-9B3FE2B1BB08}" presName="rootComposite" presStyleCnt="0"/>
      <dgm:spPr/>
      <dgm:t>
        <a:bodyPr/>
        <a:lstStyle/>
        <a:p>
          <a:endParaRPr lang="ru-RU"/>
        </a:p>
      </dgm:t>
    </dgm:pt>
    <dgm:pt modelId="{C18DEBB2-93B1-4D53-B780-FDF316911EDF}" type="pres">
      <dgm:prSet presAssocID="{09E5C36F-86DF-4077-9328-9B3FE2B1BB08}" presName="rootText" presStyleLbl="node2" presStyleIdx="0" presStyleCnt="3" custScaleX="82779" custScaleY="339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117B76-8190-4467-958A-17E4B0CB1127}" type="pres">
      <dgm:prSet presAssocID="{09E5C36F-86DF-4077-9328-9B3FE2B1BB08}" presName="rootConnector" presStyleLbl="node2" presStyleIdx="0" presStyleCnt="3"/>
      <dgm:spPr/>
      <dgm:t>
        <a:bodyPr/>
        <a:lstStyle/>
        <a:p>
          <a:endParaRPr lang="ru-RU"/>
        </a:p>
      </dgm:t>
    </dgm:pt>
    <dgm:pt modelId="{A92AB079-6F0E-48E5-B736-122D7E608358}" type="pres">
      <dgm:prSet presAssocID="{09E5C36F-86DF-4077-9328-9B3FE2B1BB08}" presName="hierChild4" presStyleCnt="0"/>
      <dgm:spPr/>
      <dgm:t>
        <a:bodyPr/>
        <a:lstStyle/>
        <a:p>
          <a:endParaRPr lang="ru-RU"/>
        </a:p>
      </dgm:t>
    </dgm:pt>
    <dgm:pt modelId="{85ED3C40-D726-4949-B47C-79313A9B760E}" type="pres">
      <dgm:prSet presAssocID="{09E5C36F-86DF-4077-9328-9B3FE2B1BB08}" presName="hierChild5" presStyleCnt="0"/>
      <dgm:spPr/>
      <dgm:t>
        <a:bodyPr/>
        <a:lstStyle/>
        <a:p>
          <a:endParaRPr lang="ru-RU"/>
        </a:p>
      </dgm:t>
    </dgm:pt>
    <dgm:pt modelId="{97802776-541F-49A7-839A-FA444021CF46}" type="pres">
      <dgm:prSet presAssocID="{2D3B9967-2E6A-493B-ACE1-608C5FBEFC3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865BFE22-291B-4329-8C8E-A017AE015CA8}" type="pres">
      <dgm:prSet presAssocID="{7211EDA2-C0CB-42D4-9B8A-AF3B2DF7E4E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8BCED2E-F084-4198-92EC-E9FF67F298E0}" type="pres">
      <dgm:prSet presAssocID="{7211EDA2-C0CB-42D4-9B8A-AF3B2DF7E4EC}" presName="rootComposite" presStyleCnt="0"/>
      <dgm:spPr/>
      <dgm:t>
        <a:bodyPr/>
        <a:lstStyle/>
        <a:p>
          <a:endParaRPr lang="ru-RU"/>
        </a:p>
      </dgm:t>
    </dgm:pt>
    <dgm:pt modelId="{A693AFE9-55C6-4316-BF75-E2C536DC6CC6}" type="pres">
      <dgm:prSet presAssocID="{7211EDA2-C0CB-42D4-9B8A-AF3B2DF7E4EC}" presName="rootText" presStyleLbl="node2" presStyleIdx="1" presStyleCnt="3" custScaleX="156892" custScaleY="34028" custLinFactNeighborX="613" custLinFactNeighborY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046CD2-63C5-486E-86A6-65CF845DF07B}" type="pres">
      <dgm:prSet presAssocID="{7211EDA2-C0CB-42D4-9B8A-AF3B2DF7E4EC}" presName="rootConnector" presStyleLbl="node2" presStyleIdx="1" presStyleCnt="3"/>
      <dgm:spPr/>
      <dgm:t>
        <a:bodyPr/>
        <a:lstStyle/>
        <a:p>
          <a:endParaRPr lang="ru-RU"/>
        </a:p>
      </dgm:t>
    </dgm:pt>
    <dgm:pt modelId="{F42B8521-6A9D-4CEE-B7B0-06C60241326B}" type="pres">
      <dgm:prSet presAssocID="{7211EDA2-C0CB-42D4-9B8A-AF3B2DF7E4EC}" presName="hierChild4" presStyleCnt="0"/>
      <dgm:spPr/>
      <dgm:t>
        <a:bodyPr/>
        <a:lstStyle/>
        <a:p>
          <a:endParaRPr lang="ru-RU"/>
        </a:p>
      </dgm:t>
    </dgm:pt>
    <dgm:pt modelId="{653594BE-3606-4FDA-9760-06EDA2E31F6A}" type="pres">
      <dgm:prSet presAssocID="{7211EDA2-C0CB-42D4-9B8A-AF3B2DF7E4EC}" presName="hierChild5" presStyleCnt="0"/>
      <dgm:spPr/>
      <dgm:t>
        <a:bodyPr/>
        <a:lstStyle/>
        <a:p>
          <a:endParaRPr lang="ru-RU"/>
        </a:p>
      </dgm:t>
    </dgm:pt>
    <dgm:pt modelId="{9B3307AF-7628-47F2-BDAC-1D94ED4CEDAC}" type="pres">
      <dgm:prSet presAssocID="{679A9A95-F99D-4F45-B7E5-854D446FBC5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2B52EB3C-8468-43FD-A946-BF213933667E}" type="pres">
      <dgm:prSet presAssocID="{7AD54C82-DA0D-4D0D-923C-0D99C665859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58E4147-FB9E-47FA-85D4-DB5FE31BD1C8}" type="pres">
      <dgm:prSet presAssocID="{7AD54C82-DA0D-4D0D-923C-0D99C6658591}" presName="rootComposite" presStyleCnt="0"/>
      <dgm:spPr/>
      <dgm:t>
        <a:bodyPr/>
        <a:lstStyle/>
        <a:p>
          <a:endParaRPr lang="ru-RU"/>
        </a:p>
      </dgm:t>
    </dgm:pt>
    <dgm:pt modelId="{922EAFF9-BDF1-4843-8F0C-550C67AA6109}" type="pres">
      <dgm:prSet presAssocID="{7AD54C82-DA0D-4D0D-923C-0D99C6658591}" presName="rootText" presStyleLbl="node2" presStyleIdx="2" presStyleCnt="3" custScaleX="82910" custScaleY="34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D299F3-9382-4476-A146-FA2047BCFC62}" type="pres">
      <dgm:prSet presAssocID="{7AD54C82-DA0D-4D0D-923C-0D99C6658591}" presName="rootConnector" presStyleLbl="node2" presStyleIdx="2" presStyleCnt="3"/>
      <dgm:spPr/>
      <dgm:t>
        <a:bodyPr/>
        <a:lstStyle/>
        <a:p>
          <a:endParaRPr lang="ru-RU"/>
        </a:p>
      </dgm:t>
    </dgm:pt>
    <dgm:pt modelId="{7B827BDE-4D96-4019-9F08-1D9408E1D97B}" type="pres">
      <dgm:prSet presAssocID="{7AD54C82-DA0D-4D0D-923C-0D99C6658591}" presName="hierChild4" presStyleCnt="0"/>
      <dgm:spPr/>
      <dgm:t>
        <a:bodyPr/>
        <a:lstStyle/>
        <a:p>
          <a:endParaRPr lang="ru-RU"/>
        </a:p>
      </dgm:t>
    </dgm:pt>
    <dgm:pt modelId="{DECF305E-4C9F-4829-9E16-A1677F64D892}" type="pres">
      <dgm:prSet presAssocID="{7AD54C82-DA0D-4D0D-923C-0D99C6658591}" presName="hierChild5" presStyleCnt="0"/>
      <dgm:spPr/>
      <dgm:t>
        <a:bodyPr/>
        <a:lstStyle/>
        <a:p>
          <a:endParaRPr lang="ru-RU"/>
        </a:p>
      </dgm:t>
    </dgm:pt>
    <dgm:pt modelId="{2355045A-7ECB-47DB-9CA6-DC6105BA5806}" type="pres">
      <dgm:prSet presAssocID="{488B0DCD-F3C1-42EF-8168-A396CE70CE54}" presName="hierChild3" presStyleCnt="0"/>
      <dgm:spPr/>
      <dgm:t>
        <a:bodyPr/>
        <a:lstStyle/>
        <a:p>
          <a:endParaRPr lang="ru-RU"/>
        </a:p>
      </dgm:t>
    </dgm:pt>
  </dgm:ptLst>
  <dgm:cxnLst>
    <dgm:cxn modelId="{DC062F99-B6E4-4522-8A66-1A6F45B323A3}" type="presOf" srcId="{E99AA506-1053-4B2E-9C64-724539954C44}" destId="{C3B7EC1A-A6E5-45AB-BEF3-4438452BCF0C}" srcOrd="0" destOrd="0" presId="urn:microsoft.com/office/officeart/2005/8/layout/orgChart1"/>
    <dgm:cxn modelId="{AD5DD2E5-A5A9-490C-A287-F6492EEFCB5D}" type="presOf" srcId="{7AD54C82-DA0D-4D0D-923C-0D99C6658591}" destId="{922EAFF9-BDF1-4843-8F0C-550C67AA6109}" srcOrd="0" destOrd="0" presId="urn:microsoft.com/office/officeart/2005/8/layout/orgChart1"/>
    <dgm:cxn modelId="{D7CA4CA4-6366-4F02-9280-764FD6DAAC4B}" srcId="{E8E1D7C3-83FD-4945-91A3-213FD491B685}" destId="{488B0DCD-F3C1-42EF-8168-A396CE70CE54}" srcOrd="0" destOrd="0" parTransId="{8BA111AB-643F-4766-AD83-207FA3FC7BFC}" sibTransId="{503F1F9E-D873-4C91-B1B7-B92E56FF512A}"/>
    <dgm:cxn modelId="{D3EB75D5-0935-4375-865D-79A3D1E42DA7}" type="presOf" srcId="{7211EDA2-C0CB-42D4-9B8A-AF3B2DF7E4EC}" destId="{A693AFE9-55C6-4316-BF75-E2C536DC6CC6}" srcOrd="0" destOrd="0" presId="urn:microsoft.com/office/officeart/2005/8/layout/orgChart1"/>
    <dgm:cxn modelId="{7E91FB77-E003-4E55-8D83-9082E7D8B6CF}" type="presOf" srcId="{09E5C36F-86DF-4077-9328-9B3FE2B1BB08}" destId="{CB117B76-8190-4467-958A-17E4B0CB1127}" srcOrd="1" destOrd="0" presId="urn:microsoft.com/office/officeart/2005/8/layout/orgChart1"/>
    <dgm:cxn modelId="{EF683DF9-501C-4FD0-B439-052D458C14DD}" srcId="{488B0DCD-F3C1-42EF-8168-A396CE70CE54}" destId="{7211EDA2-C0CB-42D4-9B8A-AF3B2DF7E4EC}" srcOrd="1" destOrd="0" parTransId="{2D3B9967-2E6A-493B-ACE1-608C5FBEFC32}" sibTransId="{972DC7A9-BE74-4139-817D-9B0DD143CAC1}"/>
    <dgm:cxn modelId="{7C014C74-1176-4FBF-8A57-95CC967696FA}" type="presOf" srcId="{488B0DCD-F3C1-42EF-8168-A396CE70CE54}" destId="{BD3D314C-1334-46EB-9B70-7558C20A5FF5}" srcOrd="1" destOrd="0" presId="urn:microsoft.com/office/officeart/2005/8/layout/orgChart1"/>
    <dgm:cxn modelId="{AE1B850B-8D26-4F77-82D3-EDAF6C33D0E8}" type="presOf" srcId="{E8E1D7C3-83FD-4945-91A3-213FD491B685}" destId="{387B719F-0CCD-4146-8614-17ED7FBD5C10}" srcOrd="0" destOrd="0" presId="urn:microsoft.com/office/officeart/2005/8/layout/orgChart1"/>
    <dgm:cxn modelId="{ACB8B08F-45D1-4657-B0DF-81978108D837}" type="presOf" srcId="{7211EDA2-C0CB-42D4-9B8A-AF3B2DF7E4EC}" destId="{63046CD2-63C5-486E-86A6-65CF845DF07B}" srcOrd="1" destOrd="0" presId="urn:microsoft.com/office/officeart/2005/8/layout/orgChart1"/>
    <dgm:cxn modelId="{3255F2DB-2CB8-4250-94B1-0CB7BE88FCDD}" type="presOf" srcId="{488B0DCD-F3C1-42EF-8168-A396CE70CE54}" destId="{58130F50-C0FD-4ADA-9860-B6B4248F809B}" srcOrd="0" destOrd="0" presId="urn:microsoft.com/office/officeart/2005/8/layout/orgChart1"/>
    <dgm:cxn modelId="{ED7700C2-F514-4BF1-B32F-F448E862C8C5}" type="presOf" srcId="{7AD54C82-DA0D-4D0D-923C-0D99C6658591}" destId="{23D299F3-9382-4476-A146-FA2047BCFC62}" srcOrd="1" destOrd="0" presId="urn:microsoft.com/office/officeart/2005/8/layout/orgChart1"/>
    <dgm:cxn modelId="{BE34886A-CFD0-4310-832E-A86CDAE3CEFF}" type="presOf" srcId="{09E5C36F-86DF-4077-9328-9B3FE2B1BB08}" destId="{C18DEBB2-93B1-4D53-B780-FDF316911EDF}" srcOrd="0" destOrd="0" presId="urn:microsoft.com/office/officeart/2005/8/layout/orgChart1"/>
    <dgm:cxn modelId="{5F6B5A19-421B-49E5-9514-87485E09E8F0}" type="presOf" srcId="{2D3B9967-2E6A-493B-ACE1-608C5FBEFC32}" destId="{97802776-541F-49A7-839A-FA444021CF46}" srcOrd="0" destOrd="0" presId="urn:microsoft.com/office/officeart/2005/8/layout/orgChart1"/>
    <dgm:cxn modelId="{26E8F8D0-7355-4AF2-A546-7E81F0C55991}" srcId="{488B0DCD-F3C1-42EF-8168-A396CE70CE54}" destId="{09E5C36F-86DF-4077-9328-9B3FE2B1BB08}" srcOrd="0" destOrd="0" parTransId="{E99AA506-1053-4B2E-9C64-724539954C44}" sibTransId="{533BAF23-707A-4376-8707-A1C2A7B4E19A}"/>
    <dgm:cxn modelId="{0763C32B-D3FE-4584-A372-5B272745FFE4}" srcId="{488B0DCD-F3C1-42EF-8168-A396CE70CE54}" destId="{7AD54C82-DA0D-4D0D-923C-0D99C6658591}" srcOrd="2" destOrd="0" parTransId="{679A9A95-F99D-4F45-B7E5-854D446FBC5D}" sibTransId="{3FCB7900-57D8-410B-B082-82FDB3281F9C}"/>
    <dgm:cxn modelId="{B7ABF770-DBD0-4824-902C-E3F145BA49A9}" type="presOf" srcId="{679A9A95-F99D-4F45-B7E5-854D446FBC5D}" destId="{9B3307AF-7628-47F2-BDAC-1D94ED4CEDAC}" srcOrd="0" destOrd="0" presId="urn:microsoft.com/office/officeart/2005/8/layout/orgChart1"/>
    <dgm:cxn modelId="{F21D898E-4DB5-4D19-8668-4F353EF8C9B6}" type="presParOf" srcId="{387B719F-0CCD-4146-8614-17ED7FBD5C10}" destId="{66C118A3-EA4F-4D55-9B24-8BA7CBB86629}" srcOrd="0" destOrd="0" presId="urn:microsoft.com/office/officeart/2005/8/layout/orgChart1"/>
    <dgm:cxn modelId="{21BE7F97-F7CA-4BC2-96BC-8EBF8007F313}" type="presParOf" srcId="{66C118A3-EA4F-4D55-9B24-8BA7CBB86629}" destId="{5C9C71A7-5BF8-46C8-AF04-0345B70574FB}" srcOrd="0" destOrd="0" presId="urn:microsoft.com/office/officeart/2005/8/layout/orgChart1"/>
    <dgm:cxn modelId="{CF3DEA0D-1322-468A-8ED1-0E2545C47CD5}" type="presParOf" srcId="{5C9C71A7-5BF8-46C8-AF04-0345B70574FB}" destId="{58130F50-C0FD-4ADA-9860-B6B4248F809B}" srcOrd="0" destOrd="0" presId="urn:microsoft.com/office/officeart/2005/8/layout/orgChart1"/>
    <dgm:cxn modelId="{495A0F36-836A-463D-87CD-9C51A6C4FE30}" type="presParOf" srcId="{5C9C71A7-5BF8-46C8-AF04-0345B70574FB}" destId="{BD3D314C-1334-46EB-9B70-7558C20A5FF5}" srcOrd="1" destOrd="0" presId="urn:microsoft.com/office/officeart/2005/8/layout/orgChart1"/>
    <dgm:cxn modelId="{F937C08A-B4F0-4D0D-BDE6-D489F9BD35D8}" type="presParOf" srcId="{66C118A3-EA4F-4D55-9B24-8BA7CBB86629}" destId="{A65797A0-B2F2-4D1E-ACE2-D7281AD27DC7}" srcOrd="1" destOrd="0" presId="urn:microsoft.com/office/officeart/2005/8/layout/orgChart1"/>
    <dgm:cxn modelId="{C12A9052-1CAA-46E2-93D8-50681A14F6FF}" type="presParOf" srcId="{A65797A0-B2F2-4D1E-ACE2-D7281AD27DC7}" destId="{C3B7EC1A-A6E5-45AB-BEF3-4438452BCF0C}" srcOrd="0" destOrd="0" presId="urn:microsoft.com/office/officeart/2005/8/layout/orgChart1"/>
    <dgm:cxn modelId="{6F2CC8F4-7114-4BBD-8337-33B966C9C502}" type="presParOf" srcId="{A65797A0-B2F2-4D1E-ACE2-D7281AD27DC7}" destId="{1F82BAEB-1F2B-4433-92C3-A3A89CB3C70C}" srcOrd="1" destOrd="0" presId="urn:microsoft.com/office/officeart/2005/8/layout/orgChart1"/>
    <dgm:cxn modelId="{D1D15C32-98B9-4B65-B9A9-4871C5A8AF73}" type="presParOf" srcId="{1F82BAEB-1F2B-4433-92C3-A3A89CB3C70C}" destId="{666F21F8-F38A-4B6B-953F-95F9250790F0}" srcOrd="0" destOrd="0" presId="urn:microsoft.com/office/officeart/2005/8/layout/orgChart1"/>
    <dgm:cxn modelId="{B4F47BED-4421-4645-8665-31B1D1B8E9A3}" type="presParOf" srcId="{666F21F8-F38A-4B6B-953F-95F9250790F0}" destId="{C18DEBB2-93B1-4D53-B780-FDF316911EDF}" srcOrd="0" destOrd="0" presId="urn:microsoft.com/office/officeart/2005/8/layout/orgChart1"/>
    <dgm:cxn modelId="{09626C29-B01B-4183-A02C-F99F19AC45A3}" type="presParOf" srcId="{666F21F8-F38A-4B6B-953F-95F9250790F0}" destId="{CB117B76-8190-4467-958A-17E4B0CB1127}" srcOrd="1" destOrd="0" presId="urn:microsoft.com/office/officeart/2005/8/layout/orgChart1"/>
    <dgm:cxn modelId="{9B99791E-EDC1-4E17-A739-CCF4B6112A02}" type="presParOf" srcId="{1F82BAEB-1F2B-4433-92C3-A3A89CB3C70C}" destId="{A92AB079-6F0E-48E5-B736-122D7E608358}" srcOrd="1" destOrd="0" presId="urn:microsoft.com/office/officeart/2005/8/layout/orgChart1"/>
    <dgm:cxn modelId="{B6E273BF-2697-4DCF-8E09-C2642762366E}" type="presParOf" srcId="{1F82BAEB-1F2B-4433-92C3-A3A89CB3C70C}" destId="{85ED3C40-D726-4949-B47C-79313A9B760E}" srcOrd="2" destOrd="0" presId="urn:microsoft.com/office/officeart/2005/8/layout/orgChart1"/>
    <dgm:cxn modelId="{8607FB4A-21FE-49B5-90E0-169228F622B4}" type="presParOf" srcId="{A65797A0-B2F2-4D1E-ACE2-D7281AD27DC7}" destId="{97802776-541F-49A7-839A-FA444021CF46}" srcOrd="2" destOrd="0" presId="urn:microsoft.com/office/officeart/2005/8/layout/orgChart1"/>
    <dgm:cxn modelId="{60849B08-2E06-4417-840D-3E6E4A646D95}" type="presParOf" srcId="{A65797A0-B2F2-4D1E-ACE2-D7281AD27DC7}" destId="{865BFE22-291B-4329-8C8E-A017AE015CA8}" srcOrd="3" destOrd="0" presId="urn:microsoft.com/office/officeart/2005/8/layout/orgChart1"/>
    <dgm:cxn modelId="{1C8ED09D-F561-4420-BBB7-FF05C014B47B}" type="presParOf" srcId="{865BFE22-291B-4329-8C8E-A017AE015CA8}" destId="{58BCED2E-F084-4198-92EC-E9FF67F298E0}" srcOrd="0" destOrd="0" presId="urn:microsoft.com/office/officeart/2005/8/layout/orgChart1"/>
    <dgm:cxn modelId="{76358E4B-53C3-44DA-993E-AF1E340A0AC0}" type="presParOf" srcId="{58BCED2E-F084-4198-92EC-E9FF67F298E0}" destId="{A693AFE9-55C6-4316-BF75-E2C536DC6CC6}" srcOrd="0" destOrd="0" presId="urn:microsoft.com/office/officeart/2005/8/layout/orgChart1"/>
    <dgm:cxn modelId="{E6D693E6-FC62-4A13-9196-D37A5EF3846C}" type="presParOf" srcId="{58BCED2E-F084-4198-92EC-E9FF67F298E0}" destId="{63046CD2-63C5-486E-86A6-65CF845DF07B}" srcOrd="1" destOrd="0" presId="urn:microsoft.com/office/officeart/2005/8/layout/orgChart1"/>
    <dgm:cxn modelId="{63149A4B-716A-479A-9F0E-051DB17184F9}" type="presParOf" srcId="{865BFE22-291B-4329-8C8E-A017AE015CA8}" destId="{F42B8521-6A9D-4CEE-B7B0-06C60241326B}" srcOrd="1" destOrd="0" presId="urn:microsoft.com/office/officeart/2005/8/layout/orgChart1"/>
    <dgm:cxn modelId="{D1DA6BAD-D498-484B-968A-8F907E9D1336}" type="presParOf" srcId="{865BFE22-291B-4329-8C8E-A017AE015CA8}" destId="{653594BE-3606-4FDA-9760-06EDA2E31F6A}" srcOrd="2" destOrd="0" presId="urn:microsoft.com/office/officeart/2005/8/layout/orgChart1"/>
    <dgm:cxn modelId="{215E61B2-9282-49FD-BBEE-FF3721802D54}" type="presParOf" srcId="{A65797A0-B2F2-4D1E-ACE2-D7281AD27DC7}" destId="{9B3307AF-7628-47F2-BDAC-1D94ED4CEDAC}" srcOrd="4" destOrd="0" presId="urn:microsoft.com/office/officeart/2005/8/layout/orgChart1"/>
    <dgm:cxn modelId="{CB484C64-CF22-4BF8-99C2-1A132E322F5E}" type="presParOf" srcId="{A65797A0-B2F2-4D1E-ACE2-D7281AD27DC7}" destId="{2B52EB3C-8468-43FD-A946-BF213933667E}" srcOrd="5" destOrd="0" presId="urn:microsoft.com/office/officeart/2005/8/layout/orgChart1"/>
    <dgm:cxn modelId="{1F59F786-4319-42F7-A74F-526E7F81F4E4}" type="presParOf" srcId="{2B52EB3C-8468-43FD-A946-BF213933667E}" destId="{758E4147-FB9E-47FA-85D4-DB5FE31BD1C8}" srcOrd="0" destOrd="0" presId="urn:microsoft.com/office/officeart/2005/8/layout/orgChart1"/>
    <dgm:cxn modelId="{D88262B4-3CCF-49C3-A69C-F6A3C8AEA88E}" type="presParOf" srcId="{758E4147-FB9E-47FA-85D4-DB5FE31BD1C8}" destId="{922EAFF9-BDF1-4843-8F0C-550C67AA6109}" srcOrd="0" destOrd="0" presId="urn:microsoft.com/office/officeart/2005/8/layout/orgChart1"/>
    <dgm:cxn modelId="{6B0A31A6-22AD-48C7-93C9-9B2F6574724F}" type="presParOf" srcId="{758E4147-FB9E-47FA-85D4-DB5FE31BD1C8}" destId="{23D299F3-9382-4476-A146-FA2047BCFC62}" srcOrd="1" destOrd="0" presId="urn:microsoft.com/office/officeart/2005/8/layout/orgChart1"/>
    <dgm:cxn modelId="{DC027E05-18FB-417D-A72E-2A7FB410091A}" type="presParOf" srcId="{2B52EB3C-8468-43FD-A946-BF213933667E}" destId="{7B827BDE-4D96-4019-9F08-1D9408E1D97B}" srcOrd="1" destOrd="0" presId="urn:microsoft.com/office/officeart/2005/8/layout/orgChart1"/>
    <dgm:cxn modelId="{F6E94285-AEE4-4515-ACD3-85F3204EA0F8}" type="presParOf" srcId="{2B52EB3C-8468-43FD-A946-BF213933667E}" destId="{DECF305E-4C9F-4829-9E16-A1677F64D892}" srcOrd="2" destOrd="0" presId="urn:microsoft.com/office/officeart/2005/8/layout/orgChart1"/>
    <dgm:cxn modelId="{9584238C-A653-4438-AB9E-C5BC5F2FB335}" type="presParOf" srcId="{66C118A3-EA4F-4D55-9B24-8BA7CBB86629}" destId="{2355045A-7ECB-47DB-9CA6-DC6105BA58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307AF-7628-47F2-BDAC-1D94ED4CEDAC}">
      <dsp:nvSpPr>
        <dsp:cNvPr id="0" name=""/>
        <dsp:cNvSpPr/>
      </dsp:nvSpPr>
      <dsp:spPr>
        <a:xfrm>
          <a:off x="2743200" y="168575"/>
          <a:ext cx="1421893" cy="212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09"/>
              </a:lnTo>
              <a:lnTo>
                <a:pt x="1421893" y="106009"/>
              </a:lnTo>
              <a:lnTo>
                <a:pt x="1421893" y="21201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7802776-541F-49A7-839A-FA444021CF46}">
      <dsp:nvSpPr>
        <dsp:cNvPr id="0" name=""/>
        <dsp:cNvSpPr/>
      </dsp:nvSpPr>
      <dsp:spPr>
        <a:xfrm>
          <a:off x="2697480" y="168575"/>
          <a:ext cx="91440" cy="2120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090"/>
              </a:lnTo>
              <a:lnTo>
                <a:pt x="51247" y="106090"/>
              </a:lnTo>
              <a:lnTo>
                <a:pt x="51247" y="21209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3B7EC1A-A6E5-45AB-BEF3-4438452BCF0C}">
      <dsp:nvSpPr>
        <dsp:cNvPr id="0" name=""/>
        <dsp:cNvSpPr/>
      </dsp:nvSpPr>
      <dsp:spPr>
        <a:xfrm>
          <a:off x="1320645" y="168575"/>
          <a:ext cx="1422554" cy="212018"/>
        </a:xfrm>
        <a:custGeom>
          <a:avLst/>
          <a:gdLst/>
          <a:ahLst/>
          <a:cxnLst/>
          <a:rect l="0" t="0" r="0" b="0"/>
          <a:pathLst>
            <a:path>
              <a:moveTo>
                <a:pt x="1422554" y="0"/>
              </a:moveTo>
              <a:lnTo>
                <a:pt x="1422554" y="106009"/>
              </a:lnTo>
              <a:lnTo>
                <a:pt x="0" y="106009"/>
              </a:lnTo>
              <a:lnTo>
                <a:pt x="0" y="21201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8130F50-C0FD-4ADA-9860-B6B4248F809B}">
      <dsp:nvSpPr>
        <dsp:cNvPr id="0" name=""/>
        <dsp:cNvSpPr/>
      </dsp:nvSpPr>
      <dsp:spPr>
        <a:xfrm>
          <a:off x="2216591" y="80"/>
          <a:ext cx="1053217" cy="168494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Ценная бумага</a:t>
          </a:r>
        </a:p>
      </dsp:txBody>
      <dsp:txXfrm>
        <a:off x="2216591" y="80"/>
        <a:ext cx="1053217" cy="168494"/>
      </dsp:txXfrm>
    </dsp:sp>
    <dsp:sp modelId="{C18DEBB2-93B1-4D53-B780-FDF316911EDF}">
      <dsp:nvSpPr>
        <dsp:cNvPr id="0" name=""/>
        <dsp:cNvSpPr/>
      </dsp:nvSpPr>
      <dsp:spPr>
        <a:xfrm>
          <a:off x="902771" y="380593"/>
          <a:ext cx="835747" cy="171603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Товар</a:t>
          </a:r>
        </a:p>
      </dsp:txBody>
      <dsp:txXfrm>
        <a:off x="902771" y="380593"/>
        <a:ext cx="835747" cy="171603"/>
      </dsp:txXfrm>
    </dsp:sp>
    <dsp:sp modelId="{A693AFE9-55C6-4316-BF75-E2C536DC6CC6}">
      <dsp:nvSpPr>
        <dsp:cNvPr id="0" name=""/>
        <dsp:cNvSpPr/>
      </dsp:nvSpPr>
      <dsp:spPr>
        <a:xfrm>
          <a:off x="1956726" y="380674"/>
          <a:ext cx="1584001" cy="171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Финансовый инструмент</a:t>
          </a:r>
        </a:p>
      </dsp:txBody>
      <dsp:txXfrm>
        <a:off x="1956726" y="380674"/>
        <a:ext cx="1584001" cy="171775"/>
      </dsp:txXfrm>
    </dsp:sp>
    <dsp:sp modelId="{922EAFF9-BDF1-4843-8F0C-550C67AA6109}">
      <dsp:nvSpPr>
        <dsp:cNvPr id="0" name=""/>
        <dsp:cNvSpPr/>
      </dsp:nvSpPr>
      <dsp:spPr>
        <a:xfrm>
          <a:off x="3746558" y="380593"/>
          <a:ext cx="837069" cy="171775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Капитал</a:t>
          </a:r>
        </a:p>
      </dsp:txBody>
      <dsp:txXfrm>
        <a:off x="3746558" y="380593"/>
        <a:ext cx="837069" cy="171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Dinara Kalmakova</cp:lastModifiedBy>
  <cp:revision>8</cp:revision>
  <dcterms:created xsi:type="dcterms:W3CDTF">2017-06-19T08:59:00Z</dcterms:created>
  <dcterms:modified xsi:type="dcterms:W3CDTF">2017-06-19T17:26:00Z</dcterms:modified>
</cp:coreProperties>
</file>